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3254E" w14:textId="58A3C303" w:rsidR="008E576F" w:rsidRDefault="0065710F">
      <w:r>
        <w:t>Titel</w:t>
      </w:r>
      <w:r w:rsidR="00A96972">
        <w:t>:</w:t>
      </w:r>
      <w:r w:rsidR="001A7024">
        <w:t xml:space="preserve"> Stem eindgebruikers minimaal in EU waterstofkwaliteitsrapport </w:t>
      </w:r>
    </w:p>
    <w:p w14:paraId="2580CF57" w14:textId="5E94CE35" w:rsidR="0065710F" w:rsidRDefault="0065710F">
      <w:r>
        <w:t>Ondertitel</w:t>
      </w:r>
      <w:r w:rsidR="00A96972">
        <w:t xml:space="preserve">: </w:t>
      </w:r>
      <w:r w:rsidR="00F600E3">
        <w:t xml:space="preserve">ENNOH publiceert het waterstofkwaliteitsmonitoringrapport </w:t>
      </w:r>
    </w:p>
    <w:p w14:paraId="53A23F72" w14:textId="16D78337" w:rsidR="0065710F" w:rsidRDefault="0065710F">
      <w:r>
        <w:t>Aankeiler</w:t>
      </w:r>
    </w:p>
    <w:p w14:paraId="7D886230" w14:textId="71A77C7B" w:rsidR="00F600E3" w:rsidRPr="00F700C1" w:rsidRDefault="00F700C1">
      <w:r w:rsidRPr="00F700C1">
        <w:t xml:space="preserve">ENNOH (European Network of Network Operators for Hydrogen) </w:t>
      </w:r>
      <w:r>
        <w:t xml:space="preserve">voert voor de eerste keer </w:t>
      </w:r>
      <w:r w:rsidR="007C5F20">
        <w:t>haar wettelijk</w:t>
      </w:r>
      <w:r w:rsidR="00584DD2">
        <w:t>e</w:t>
      </w:r>
      <w:r w:rsidR="007C5F20">
        <w:t xml:space="preserve"> taak uit </w:t>
      </w:r>
      <w:r w:rsidR="00584DD2">
        <w:t xml:space="preserve">om </w:t>
      </w:r>
      <w:r w:rsidR="007C5F20">
        <w:t>onderzoek te doen naar</w:t>
      </w:r>
      <w:r>
        <w:t xml:space="preserve"> waterstofkwaliteit in </w:t>
      </w:r>
      <w:r w:rsidR="00BB4A50">
        <w:t>de EU</w:t>
      </w:r>
      <w:r>
        <w:t xml:space="preserve">. </w:t>
      </w:r>
      <w:r w:rsidR="00A16536">
        <w:t xml:space="preserve">Het aandeel eindgebruikers met een bijdrage is beperkt. </w:t>
      </w:r>
    </w:p>
    <w:p w14:paraId="67640CE9" w14:textId="2E407EB6" w:rsidR="0065710F" w:rsidRPr="003E2C3F" w:rsidRDefault="003E2C3F">
      <w:pPr>
        <w:rPr>
          <w:u w:val="single"/>
        </w:rPr>
      </w:pPr>
      <w:r w:rsidRPr="003E2C3F">
        <w:rPr>
          <w:u w:val="single"/>
        </w:rPr>
        <w:t>Rapport</w:t>
      </w:r>
      <w:r w:rsidR="00A16536" w:rsidRPr="003E2C3F">
        <w:rPr>
          <w:u w:val="single"/>
        </w:rPr>
        <w:t xml:space="preserve"> </w:t>
      </w:r>
    </w:p>
    <w:p w14:paraId="59F9DCDA" w14:textId="59D2F366" w:rsidR="003E2C3F" w:rsidRDefault="00554EB5">
      <w:r>
        <w:t xml:space="preserve">Artikel 59 van Verordening </w:t>
      </w:r>
      <w:r w:rsidR="004E5923">
        <w:t xml:space="preserve">(EU) 2024/1789 verplicht </w:t>
      </w:r>
      <w:r w:rsidR="009A4E01">
        <w:t>ENNOH elke twee jaar</w:t>
      </w:r>
      <w:r w:rsidR="004E5923">
        <w:t xml:space="preserve"> een waterstofkwaliteitsmonitoringrapport te publiceren. </w:t>
      </w:r>
      <w:r w:rsidR="00653274">
        <w:t xml:space="preserve">De volgende editie van het rapport zal in 2028 worden gepubliceerd. </w:t>
      </w:r>
      <w:r w:rsidR="00B22C33">
        <w:t xml:space="preserve">Het gros van het rapport bevat de reacties van belanghebbenden op </w:t>
      </w:r>
      <w:r w:rsidR="00D97939">
        <w:t>de</w:t>
      </w:r>
      <w:r w:rsidR="00B22C33">
        <w:t xml:space="preserve"> consultatie</w:t>
      </w:r>
      <w:r w:rsidR="00D97939">
        <w:t xml:space="preserve"> die eerder dit jaar plaatsvond</w:t>
      </w:r>
      <w:r w:rsidR="00B22C33">
        <w:t xml:space="preserve"> en ingediende position papers. </w:t>
      </w:r>
    </w:p>
    <w:p w14:paraId="1A83612C" w14:textId="77777777" w:rsidR="003E2C3F" w:rsidRPr="003E2C3F" w:rsidRDefault="003E2C3F">
      <w:pPr>
        <w:rPr>
          <w:u w:val="single"/>
        </w:rPr>
      </w:pPr>
      <w:r w:rsidRPr="003E2C3F">
        <w:rPr>
          <w:u w:val="single"/>
        </w:rPr>
        <w:t>Vertegenwoordiging</w:t>
      </w:r>
    </w:p>
    <w:p w14:paraId="6CFB0BF0" w14:textId="5F3B47CA" w:rsidR="009A4E01" w:rsidRDefault="00B22C33">
      <w:r>
        <w:t xml:space="preserve">25 partijen dienden een reactie </w:t>
      </w:r>
      <w:r w:rsidR="00D97939">
        <w:t>op de consultatie in</w:t>
      </w:r>
      <w:r>
        <w:t xml:space="preserve">. </w:t>
      </w:r>
      <w:r w:rsidR="005A336D">
        <w:t>Van de 25 respondenten</w:t>
      </w:r>
      <w:r w:rsidR="004E7A81">
        <w:t xml:space="preserve"> </w:t>
      </w:r>
      <w:r w:rsidR="0020569D">
        <w:t xml:space="preserve">is er enige overlap tussen de vertegenwoordiging. Het gros vertegenwoordigt de belangen van de infrastructuurpartijen en de </w:t>
      </w:r>
      <w:r w:rsidR="00D97939">
        <w:t>(waterstof-)</w:t>
      </w:r>
      <w:r w:rsidR="0020569D">
        <w:t>opslagbeheerders.</w:t>
      </w:r>
      <w:r w:rsidR="003E2C3F">
        <w:t xml:space="preserve"> Maar 3 partijen komen op voor de belangen van de eindgebruikers, waaronder IFIEC</w:t>
      </w:r>
      <w:r w:rsidR="00B44FE4">
        <w:t xml:space="preserve"> (</w:t>
      </w:r>
      <w:r w:rsidR="003E2C3F">
        <w:t>belangenorganisatie voor industriële energiegebruikers in Europa</w:t>
      </w:r>
      <w:r w:rsidR="00B44FE4">
        <w:t>)</w:t>
      </w:r>
      <w:r w:rsidR="003E2C3F">
        <w:t xml:space="preserve">. </w:t>
      </w:r>
      <w:r w:rsidR="00B44FE4">
        <w:t>Aangezien VEMW lid is van IFIEC zijn de belangen van de leden van VEMW ingebracht via IFIEC.</w:t>
      </w:r>
      <w:r w:rsidR="003E2C3F">
        <w:t xml:space="preserve"> </w:t>
      </w:r>
      <w:r w:rsidR="005C6AD8">
        <w:t xml:space="preserve">De belangen van de toekomstige waterstofproducenten </w:t>
      </w:r>
      <w:r w:rsidR="00584DD2">
        <w:t>via</w:t>
      </w:r>
      <w:r w:rsidR="005628A7">
        <w:t xml:space="preserve"> elektrolyse </w:t>
      </w:r>
      <w:r w:rsidR="005C6AD8">
        <w:t>zijn</w:t>
      </w:r>
      <w:r w:rsidR="005628A7">
        <w:t xml:space="preserve"> naast de stem van de Europese industriële gassenorganisatie (EIGA) niet meegekomen. </w:t>
      </w:r>
    </w:p>
    <w:p w14:paraId="7DFEA7EC" w14:textId="5AED2484" w:rsidR="00F578B7" w:rsidRPr="00F578B7" w:rsidRDefault="00F578B7">
      <w:pPr>
        <w:rPr>
          <w:u w:val="single"/>
        </w:rPr>
      </w:pPr>
      <w:r w:rsidRPr="00F578B7">
        <w:rPr>
          <w:u w:val="single"/>
        </w:rPr>
        <w:t>Inbreng IFIEC</w:t>
      </w:r>
    </w:p>
    <w:p w14:paraId="102E8D75" w14:textId="1130F26A" w:rsidR="00A86243" w:rsidRDefault="00F578B7">
      <w:r>
        <w:t xml:space="preserve">IFIEC heeft </w:t>
      </w:r>
      <w:r w:rsidR="004B696C">
        <w:t>gewezen</w:t>
      </w:r>
      <w:r>
        <w:t xml:space="preserve"> op het belang van de eindgebruikers. De verwachting is dat de </w:t>
      </w:r>
      <w:r w:rsidR="00740376">
        <w:t xml:space="preserve">waterstofgebruikers van de toekomst voor een groot deel overeenkomen met de huidige gebruikers (chemie, raffinaderijen, kunstmest). Deze gebruikers hebben een hoge kwaliteit </w:t>
      </w:r>
      <w:r w:rsidR="00A86243">
        <w:t xml:space="preserve">nodig voor hun processen. IFIEC pleit daarom voor een waterstofkwaliteitstandaard van </w:t>
      </w:r>
      <w:r w:rsidR="00A86243" w:rsidRPr="006366E3">
        <w:t>≥99</w:t>
      </w:r>
      <w:r w:rsidR="00584DD2">
        <w:t>,</w:t>
      </w:r>
      <w:r w:rsidR="00A86243" w:rsidRPr="006366E3">
        <w:t>9 mol %</w:t>
      </w:r>
      <w:r w:rsidR="00A86243">
        <w:t xml:space="preserve"> met een strik</w:t>
      </w:r>
      <w:r w:rsidR="00584DD2">
        <w:t>t</w:t>
      </w:r>
      <w:r w:rsidR="00A86243">
        <w:t>e bandbreedte van contaminanten</w:t>
      </w:r>
      <w:r w:rsidR="001239F6">
        <w:t xml:space="preserve">. Om kostbare decentrale zuivering te voorkomen is het belangrijk dat het netwerk </w:t>
      </w:r>
      <w:r w:rsidR="004B696C">
        <w:t xml:space="preserve">de noodzakelijke waterstofkwaliteit levert. </w:t>
      </w:r>
      <w:r w:rsidR="00BA5659">
        <w:t xml:space="preserve">Ook wijst IFIEC op de voornaamste toekomstige productiemethode (elektrolyse) die hoogzuivere waterstof produceert. </w:t>
      </w:r>
      <w:r w:rsidR="001B7FD6">
        <w:t xml:space="preserve">IFIEC ziet het belang van de laagste kosten in de keten, maar waarschuwt voor de gevolgen van </w:t>
      </w:r>
      <w:r w:rsidR="00BC26A5">
        <w:t xml:space="preserve">kwaliteit die niet in lijn is met de benodigdheden van de gebruikers. </w:t>
      </w:r>
    </w:p>
    <w:p w14:paraId="3F1CC664" w14:textId="316F9144" w:rsidR="001B7FD6" w:rsidRPr="001B7FD6" w:rsidRDefault="001B7FD6">
      <w:pPr>
        <w:rPr>
          <w:u w:val="single"/>
        </w:rPr>
      </w:pPr>
      <w:r w:rsidRPr="001B7FD6">
        <w:rPr>
          <w:u w:val="single"/>
        </w:rPr>
        <w:t xml:space="preserve">Andere belangen </w:t>
      </w:r>
    </w:p>
    <w:p w14:paraId="2BED3520" w14:textId="1BC562DC" w:rsidR="00D00C97" w:rsidRDefault="00D00C97">
      <w:r>
        <w:t xml:space="preserve">De inbreng van andere partijen (infrastructuurbeheerders, opslagen) </w:t>
      </w:r>
      <w:r w:rsidR="00C73724">
        <w:t xml:space="preserve">weegt door de vele respondenten </w:t>
      </w:r>
      <w:r w:rsidR="00403603">
        <w:t xml:space="preserve">die deze belangen vertegenwoordigen </w:t>
      </w:r>
      <w:r w:rsidR="00C73724">
        <w:t xml:space="preserve">zwaar mee in het rapport. Zo wordt het belang van waterstofopslagen erg zwaar gewogen, </w:t>
      </w:r>
      <w:r w:rsidR="00F24D15">
        <w:t>wijzen de meeste partijen op een standaard tussen de 98–99</w:t>
      </w:r>
      <w:r w:rsidR="00584DD2">
        <w:t>,</w:t>
      </w:r>
      <w:r w:rsidR="00F24D15">
        <w:t>5 mol%</w:t>
      </w:r>
      <w:r w:rsidR="00643AD1">
        <w:t xml:space="preserve"> en twijfelen partijen over de mogelijkheid om de levering van een hoge kwaliteit te garander</w:t>
      </w:r>
      <w:r w:rsidR="00B90677">
        <w:t xml:space="preserve">en. </w:t>
      </w:r>
    </w:p>
    <w:p w14:paraId="6CEBCB81" w14:textId="77777777" w:rsidR="00E92C9D" w:rsidRPr="00BB4A50" w:rsidRDefault="00E92C9D" w:rsidP="00E92C9D">
      <w:pPr>
        <w:rPr>
          <w:u w:val="single"/>
        </w:rPr>
      </w:pPr>
      <w:r w:rsidRPr="00BB4A50">
        <w:rPr>
          <w:u w:val="single"/>
        </w:rPr>
        <w:t>Conclusies en aanbevelingen van ENNOH</w:t>
      </w:r>
    </w:p>
    <w:p w14:paraId="66728A74" w14:textId="189F3FD3" w:rsidR="008235AF" w:rsidRDefault="00B33FB4">
      <w:r>
        <w:t xml:space="preserve">In het rapport doet ENNOH geen aanbevelingen voor een kwaliteitsstandaard. ENNOH concludeert dat de aanwezige contaminanten in de waterstof belangrijker zijn dan </w:t>
      </w:r>
      <w:r w:rsidR="00D77389">
        <w:t xml:space="preserve">het percentage aanwezige waterstof. Daarnaast doet </w:t>
      </w:r>
      <w:r w:rsidR="00D91D40">
        <w:t>ENNOH drie aanbevelingen</w:t>
      </w:r>
      <w:r w:rsidR="008E3AA4">
        <w:t xml:space="preserve"> betreffende waterstofkwaliteit</w:t>
      </w:r>
      <w:r w:rsidR="00D91D40">
        <w:t>:</w:t>
      </w:r>
    </w:p>
    <w:p w14:paraId="1782176D" w14:textId="7F58B631" w:rsidR="00D91D40" w:rsidRDefault="00D91D40" w:rsidP="00476BFA">
      <w:pPr>
        <w:pStyle w:val="Lijstalinea"/>
        <w:numPr>
          <w:ilvl w:val="0"/>
          <w:numId w:val="6"/>
        </w:numPr>
      </w:pPr>
      <w:r>
        <w:lastRenderedPageBreak/>
        <w:t>Begin zo snel mogelijk met het monitoren van waterstofkwaliteit</w:t>
      </w:r>
      <w:r w:rsidR="00310E09">
        <w:t>;</w:t>
      </w:r>
    </w:p>
    <w:p w14:paraId="3BF72B79" w14:textId="5193084D" w:rsidR="00537446" w:rsidRDefault="00676B74" w:rsidP="00476BFA">
      <w:pPr>
        <w:pStyle w:val="Lijstalinea"/>
        <w:numPr>
          <w:ilvl w:val="0"/>
          <w:numId w:val="6"/>
        </w:numPr>
      </w:pPr>
      <w:r>
        <w:t xml:space="preserve">Start het proces </w:t>
      </w:r>
      <w:r w:rsidR="00040CF1">
        <w:t>van</w:t>
      </w:r>
      <w:r w:rsidRPr="00676B74">
        <w:t xml:space="preserve"> de Europese standaardisering</w:t>
      </w:r>
      <w:r w:rsidR="00040CF1">
        <w:t xml:space="preserve"> </w:t>
      </w:r>
      <w:r>
        <w:t>betreffende</w:t>
      </w:r>
      <w:r w:rsidRPr="00676B74">
        <w:t xml:space="preserve"> waterstofkwaliteit</w:t>
      </w:r>
      <w:r w:rsidR="00310E09">
        <w:t>;</w:t>
      </w:r>
    </w:p>
    <w:p w14:paraId="4BCE7D56" w14:textId="7B282AA9" w:rsidR="00D91D40" w:rsidRPr="00310E09" w:rsidRDefault="00310E09" w:rsidP="00476BFA">
      <w:pPr>
        <w:pStyle w:val="Lijstalinea"/>
        <w:numPr>
          <w:ilvl w:val="0"/>
          <w:numId w:val="6"/>
        </w:numPr>
      </w:pPr>
      <w:r w:rsidRPr="00310E09">
        <w:t>Prioriteer het opstellen van de</w:t>
      </w:r>
      <w:r>
        <w:t xml:space="preserve"> netwerkcode interoperabiliteit en data-uitwisseling.</w:t>
      </w:r>
    </w:p>
    <w:p w14:paraId="23D53A58" w14:textId="01D66C60" w:rsidR="0003371C" w:rsidRPr="0003371C" w:rsidRDefault="0003371C">
      <w:r w:rsidRPr="0003371C">
        <w:t>Algemeen Directeur VEMW, Hans G</w:t>
      </w:r>
      <w:r>
        <w:t>rünfeld, reageert op het rapport: ‘</w:t>
      </w:r>
      <w:r w:rsidR="00D75CDE" w:rsidRPr="00D75CDE">
        <w:t xml:space="preserve">‘Het is zorgwekkend dat in een rapport over waterstofkwaliteit de stem van eindgebruikers zo beperkt vertegenwoordigd is, terwijl juist zij uiteindelijk bepalen of de infrastructuur gebruikt gaat worden. Ook de belangen van toekomstige waterstofproducenten via elektrolyse zijn nauwelijks zichtbaar. Zonder voldoende aandacht voor de behoeften van gebruikers dreigt het risico dat bedrijven de waterstofbackbone gaan vermijden en </w:t>
      </w:r>
      <w:r w:rsidR="0072235F">
        <w:t>decentrale</w:t>
      </w:r>
      <w:r w:rsidR="0072235F" w:rsidRPr="00D75CDE">
        <w:t xml:space="preserve"> oplossingen</w:t>
      </w:r>
      <w:r w:rsidR="0072235F" w:rsidRPr="00D75CDE">
        <w:t xml:space="preserve"> </w:t>
      </w:r>
      <w:r w:rsidR="00D75CDE" w:rsidRPr="00D75CDE">
        <w:t xml:space="preserve">kiezen. De klant zou centraal moeten staan </w:t>
      </w:r>
      <w:r w:rsidR="00AB0CA4">
        <w:t xml:space="preserve">– </w:t>
      </w:r>
      <w:r w:rsidR="00D75CDE" w:rsidRPr="00D75CDE">
        <w:t>ook voor netbeheerders. Want zonder gebruikers krijg je geen netwerk</w:t>
      </w:r>
      <w:r w:rsidR="00AB0CA4">
        <w:t xml:space="preserve"> met een hoge benuttingsgraad</w:t>
      </w:r>
      <w:r w:rsidR="00D75CDE" w:rsidRPr="00D75CDE">
        <w:t xml:space="preserve">, en zonder netwerk </w:t>
      </w:r>
      <w:r w:rsidR="00AB0CA4">
        <w:t>met een hoge benuttingsgraad</w:t>
      </w:r>
      <w:r w:rsidR="00AB0CA4" w:rsidRPr="00D75CDE">
        <w:t xml:space="preserve"> </w:t>
      </w:r>
      <w:r w:rsidR="00D75CDE" w:rsidRPr="00D75CDE">
        <w:t>ontstaat er geen liquide waterstofmarkt. Die realiteit moet in Nederland én Europa nog verder indalen.’</w:t>
      </w:r>
    </w:p>
    <w:p w14:paraId="11A9DEB1" w14:textId="77777777" w:rsidR="00403603" w:rsidRPr="0003371C" w:rsidRDefault="00403603"/>
    <w:p w14:paraId="162E6081" w14:textId="0F98FA10" w:rsidR="00A96972" w:rsidRDefault="00A96972" w:rsidP="00A96972">
      <w:pPr>
        <w:rPr>
          <w:lang w:val="en-GB"/>
        </w:rPr>
      </w:pPr>
      <w:r w:rsidRPr="00A96972">
        <w:rPr>
          <w:lang w:val="en-GB"/>
        </w:rPr>
        <w:t>Need for a European interconnected hydrogen backbone</w:t>
      </w:r>
      <w:r>
        <w:rPr>
          <w:lang w:val="en-GB"/>
        </w:rPr>
        <w:t xml:space="preserve"> </w:t>
      </w:r>
      <w:r w:rsidRPr="00A96972">
        <w:rPr>
          <w:lang w:val="en-GB"/>
        </w:rPr>
        <w:t>without distinctions between hydrogen grades</w:t>
      </w:r>
      <w:r>
        <w:rPr>
          <w:lang w:val="en-GB"/>
        </w:rPr>
        <w:t xml:space="preserve"> </w:t>
      </w:r>
      <w:r w:rsidRPr="00A96972">
        <w:rPr>
          <w:lang w:val="en-GB"/>
        </w:rPr>
        <w:t>or types: this would strongly support the creation of a</w:t>
      </w:r>
      <w:r>
        <w:rPr>
          <w:lang w:val="en-GB"/>
        </w:rPr>
        <w:t xml:space="preserve"> </w:t>
      </w:r>
      <w:r w:rsidRPr="00A96972">
        <w:rPr>
          <w:lang w:val="en-GB"/>
        </w:rPr>
        <w:t>well-functioning European hydrogen market, provided</w:t>
      </w:r>
      <w:r>
        <w:rPr>
          <w:lang w:val="en-GB"/>
        </w:rPr>
        <w:t xml:space="preserve"> </w:t>
      </w:r>
      <w:r w:rsidRPr="00A96972">
        <w:rPr>
          <w:lang w:val="en-GB"/>
        </w:rPr>
        <w:t>that a harmonised hydrogen quality specification</w:t>
      </w:r>
      <w:r>
        <w:rPr>
          <w:lang w:val="en-GB"/>
        </w:rPr>
        <w:t xml:space="preserve"> </w:t>
      </w:r>
      <w:r w:rsidRPr="00A96972">
        <w:rPr>
          <w:lang w:val="en-GB"/>
        </w:rPr>
        <w:t>across Member States facilitates cross-border transport</w:t>
      </w:r>
      <w:r>
        <w:rPr>
          <w:lang w:val="en-GB"/>
        </w:rPr>
        <w:t xml:space="preserve"> </w:t>
      </w:r>
      <w:r w:rsidRPr="00A96972">
        <w:rPr>
          <w:lang w:val="en-GB"/>
        </w:rPr>
        <w:t>and trade and avoids additional technical measures</w:t>
      </w:r>
      <w:r>
        <w:rPr>
          <w:lang w:val="en-GB"/>
        </w:rPr>
        <w:t xml:space="preserve"> </w:t>
      </w:r>
      <w:r w:rsidRPr="00A96972">
        <w:rPr>
          <w:lang w:val="en-GB"/>
        </w:rPr>
        <w:t>or purification steps at interconnection points.</w:t>
      </w:r>
    </w:p>
    <w:p w14:paraId="63F7EE0E" w14:textId="166005EE" w:rsidR="00A96972" w:rsidRDefault="00A96972" w:rsidP="00A96972">
      <w:pPr>
        <w:rPr>
          <w:lang w:val="en-GB"/>
        </w:rPr>
      </w:pPr>
      <w:r w:rsidRPr="00A96972">
        <w:rPr>
          <w:lang w:val="en-GB"/>
        </w:rPr>
        <w:t>taking into account</w:t>
      </w:r>
      <w:r>
        <w:rPr>
          <w:lang w:val="en-GB"/>
        </w:rPr>
        <w:t xml:space="preserve"> </w:t>
      </w:r>
      <w:r w:rsidRPr="00A96972">
        <w:rPr>
          <w:lang w:val="en-GB"/>
        </w:rPr>
        <w:t>the needs of end users, in a way that is cost-effective for</w:t>
      </w:r>
      <w:r>
        <w:rPr>
          <w:lang w:val="en-GB"/>
        </w:rPr>
        <w:t xml:space="preserve"> </w:t>
      </w:r>
      <w:r w:rsidRPr="00A96972">
        <w:rPr>
          <w:lang w:val="en-GB"/>
        </w:rPr>
        <w:t>the entire European hydrogen interconnected system.</w:t>
      </w:r>
    </w:p>
    <w:p w14:paraId="7AAC2BE3" w14:textId="77777777" w:rsidR="00A96972" w:rsidRPr="00A96972" w:rsidRDefault="00A96972" w:rsidP="00A96972">
      <w:pPr>
        <w:rPr>
          <w:lang w:val="en-GB"/>
        </w:rPr>
      </w:pPr>
      <w:r w:rsidRPr="00A96972">
        <w:rPr>
          <w:lang w:val="en-GB"/>
        </w:rPr>
        <w:t>2.2.6 End users</w:t>
      </w:r>
    </w:p>
    <w:p w14:paraId="5874CC91" w14:textId="61778683" w:rsidR="00A96972" w:rsidRDefault="00A96972" w:rsidP="00A96972">
      <w:pPr>
        <w:rPr>
          <w:lang w:val="en-GB"/>
        </w:rPr>
      </w:pPr>
      <w:r w:rsidRPr="00A96972">
        <w:rPr>
          <w:b/>
          <w:bCs/>
          <w:lang w:val="en-GB"/>
        </w:rPr>
        <w:t>Most of the respondents doubt that in case of very high purity level requirement on the European transmission network, this could avoid local purification units</w:t>
      </w:r>
      <w:r w:rsidRPr="00A96972">
        <w:rPr>
          <w:lang w:val="en-GB"/>
        </w:rPr>
        <w:t>. In other</w:t>
      </w:r>
      <w:r>
        <w:rPr>
          <w:lang w:val="en-GB"/>
        </w:rPr>
        <w:t xml:space="preserve"> </w:t>
      </w:r>
      <w:r w:rsidRPr="00A96972">
        <w:rPr>
          <w:lang w:val="en-GB"/>
        </w:rPr>
        <w:t>words this would not achieve the economic benefits of</w:t>
      </w:r>
      <w:r>
        <w:rPr>
          <w:lang w:val="en-GB"/>
        </w:rPr>
        <w:t xml:space="preserve"> </w:t>
      </w:r>
      <w:r w:rsidRPr="00A96972">
        <w:rPr>
          <w:lang w:val="en-GB"/>
        </w:rPr>
        <w:t>an interconnected backbone; that is why it is important to</w:t>
      </w:r>
      <w:r>
        <w:rPr>
          <w:lang w:val="en-GB"/>
        </w:rPr>
        <w:t xml:space="preserve"> </w:t>
      </w:r>
      <w:r w:rsidRPr="00A96972">
        <w:rPr>
          <w:lang w:val="en-GB"/>
        </w:rPr>
        <w:t>find a techno-economic optimal way to reconcile all stakeholders’</w:t>
      </w:r>
      <w:r>
        <w:rPr>
          <w:lang w:val="en-GB"/>
        </w:rPr>
        <w:t xml:space="preserve"> </w:t>
      </w:r>
      <w:r w:rsidRPr="00A96972">
        <w:rPr>
          <w:lang w:val="en-GB"/>
        </w:rPr>
        <w:t>needs in the value-chain.</w:t>
      </w:r>
    </w:p>
    <w:p w14:paraId="07AD0A3B" w14:textId="70A91B23" w:rsidR="00A96972" w:rsidRDefault="00A96972" w:rsidP="00A96972">
      <w:pPr>
        <w:rPr>
          <w:lang w:val="en-GB"/>
        </w:rPr>
      </w:pPr>
      <w:r>
        <w:rPr>
          <w:lang w:val="en-GB"/>
        </w:rPr>
        <w:t xml:space="preserve">Storage operators have a very strong voice in this. </w:t>
      </w:r>
    </w:p>
    <w:p w14:paraId="190A4C23" w14:textId="0428B843" w:rsidR="00A96972" w:rsidRDefault="00A96972" w:rsidP="00A96972">
      <w:pPr>
        <w:rPr>
          <w:lang w:val="en-GB"/>
        </w:rPr>
      </w:pPr>
      <w:r w:rsidRPr="00A96972">
        <w:rPr>
          <w:lang w:val="en-GB"/>
        </w:rPr>
        <w:t>Applications requiring higher purity than the network</w:t>
      </w:r>
      <w:r>
        <w:rPr>
          <w:lang w:val="en-GB"/>
        </w:rPr>
        <w:t xml:space="preserve"> </w:t>
      </w:r>
      <w:r w:rsidRPr="00A96972">
        <w:rPr>
          <w:lang w:val="en-GB"/>
        </w:rPr>
        <w:t xml:space="preserve">specifications should implement local </w:t>
      </w:r>
      <w:r>
        <w:rPr>
          <w:lang w:val="en-GB"/>
        </w:rPr>
        <w:t xml:space="preserve"> </w:t>
      </w:r>
      <w:r w:rsidRPr="00A96972">
        <w:rPr>
          <w:lang w:val="en-GB"/>
        </w:rPr>
        <w:t>purification</w:t>
      </w:r>
      <w:r>
        <w:rPr>
          <w:lang w:val="en-GB"/>
        </w:rPr>
        <w:t xml:space="preserve"> </w:t>
      </w:r>
      <w:r w:rsidRPr="00A96972">
        <w:rPr>
          <w:lang w:val="en-GB"/>
        </w:rPr>
        <w:t>solutions. This avoids cross-subsidisation and ensures</w:t>
      </w:r>
      <w:r>
        <w:rPr>
          <w:lang w:val="en-GB"/>
        </w:rPr>
        <w:t xml:space="preserve"> </w:t>
      </w:r>
      <w:r w:rsidRPr="00A96972">
        <w:rPr>
          <w:lang w:val="en-GB"/>
        </w:rPr>
        <w:t>that the broader market is not burdened with unnecessary</w:t>
      </w:r>
      <w:r>
        <w:rPr>
          <w:lang w:val="en-GB"/>
        </w:rPr>
        <w:t xml:space="preserve"> </w:t>
      </w:r>
      <w:r w:rsidRPr="00A96972">
        <w:rPr>
          <w:lang w:val="en-GB"/>
        </w:rPr>
        <w:t>costs.</w:t>
      </w:r>
    </w:p>
    <w:p w14:paraId="6D41F09F" w14:textId="02B6A638" w:rsidR="00A96972" w:rsidRDefault="00A96972" w:rsidP="00A96972">
      <w:pPr>
        <w:rPr>
          <w:lang w:val="en-GB"/>
        </w:rPr>
      </w:pPr>
      <w:r w:rsidRPr="00A96972">
        <w:rPr>
          <w:lang w:val="en-GB"/>
        </w:rPr>
        <w:t>A bilateral meeting with IFIEC was held on 9 April. IFIEC recalled</w:t>
      </w:r>
      <w:r>
        <w:rPr>
          <w:lang w:val="en-GB"/>
        </w:rPr>
        <w:t xml:space="preserve"> </w:t>
      </w:r>
      <w:r w:rsidRPr="00A96972">
        <w:rPr>
          <w:lang w:val="en-GB"/>
        </w:rPr>
        <w:t>their policy asks, which can be found in their position</w:t>
      </w:r>
      <w:r>
        <w:rPr>
          <w:lang w:val="en-GB"/>
        </w:rPr>
        <w:t xml:space="preserve"> </w:t>
      </w:r>
      <w:r w:rsidRPr="00A96972">
        <w:rPr>
          <w:lang w:val="en-GB"/>
        </w:rPr>
        <w:t>papers. They raised the issue of geographically confined</w:t>
      </w:r>
      <w:r>
        <w:rPr>
          <w:lang w:val="en-GB"/>
        </w:rPr>
        <w:t xml:space="preserve"> </w:t>
      </w:r>
      <w:r w:rsidRPr="00A96972">
        <w:rPr>
          <w:lang w:val="en-GB"/>
        </w:rPr>
        <w:t>networks, in particular the impact of their connection to</w:t>
      </w:r>
      <w:r>
        <w:rPr>
          <w:lang w:val="en-GB"/>
        </w:rPr>
        <w:t xml:space="preserve"> </w:t>
      </w:r>
      <w:r w:rsidRPr="00A96972">
        <w:rPr>
          <w:lang w:val="en-GB"/>
        </w:rPr>
        <w:t>the backbone. They considered also the primary importance</w:t>
      </w:r>
      <w:r>
        <w:rPr>
          <w:lang w:val="en-GB"/>
        </w:rPr>
        <w:t xml:space="preserve"> </w:t>
      </w:r>
      <w:r w:rsidRPr="00A96972">
        <w:rPr>
          <w:lang w:val="en-GB"/>
        </w:rPr>
        <w:t>of defining contaminant thresholds, rather than</w:t>
      </w:r>
      <w:r>
        <w:rPr>
          <w:lang w:val="en-GB"/>
        </w:rPr>
        <w:t xml:space="preserve"> </w:t>
      </w:r>
      <w:r w:rsidRPr="00A96972">
        <w:rPr>
          <w:lang w:val="en-GB"/>
        </w:rPr>
        <w:t>necessarily the purity level.</w:t>
      </w:r>
    </w:p>
    <w:p w14:paraId="329D11BF" w14:textId="2B6CF07C" w:rsidR="007A4AB7" w:rsidRDefault="007A4AB7" w:rsidP="007A4AB7">
      <w:pPr>
        <w:rPr>
          <w:lang w:val="en-GB"/>
        </w:rPr>
      </w:pPr>
      <w:r w:rsidRPr="007A4AB7">
        <w:rPr>
          <w:lang w:val="en-GB"/>
        </w:rPr>
        <w:t>Storage facilities are indeed not the unique critical link, as</w:t>
      </w:r>
      <w:r>
        <w:rPr>
          <w:lang w:val="en-GB"/>
        </w:rPr>
        <w:t xml:space="preserve"> </w:t>
      </w:r>
      <w:r w:rsidRPr="007A4AB7">
        <w:rPr>
          <w:lang w:val="en-GB"/>
        </w:rPr>
        <w:t>other types of infrastructure facilities have to be considered,</w:t>
      </w:r>
      <w:r>
        <w:rPr>
          <w:lang w:val="en-GB"/>
        </w:rPr>
        <w:t xml:space="preserve"> </w:t>
      </w:r>
      <w:r w:rsidRPr="007A4AB7">
        <w:rPr>
          <w:lang w:val="en-GB"/>
        </w:rPr>
        <w:t>e.g. the compressor stations.</w:t>
      </w:r>
    </w:p>
    <w:p w14:paraId="2AA954EF" w14:textId="77777777" w:rsidR="001B395C" w:rsidRDefault="001B395C" w:rsidP="007A4AB7">
      <w:pPr>
        <w:rPr>
          <w:lang w:val="en-GB"/>
        </w:rPr>
      </w:pPr>
    </w:p>
    <w:p w14:paraId="5E38B8C8" w14:textId="726F3A65" w:rsidR="001B395C" w:rsidRDefault="001B395C" w:rsidP="007A4AB7">
      <w:pPr>
        <w:rPr>
          <w:lang w:val="en-GB"/>
        </w:rPr>
      </w:pPr>
      <w:r>
        <w:rPr>
          <w:lang w:val="en-GB"/>
        </w:rPr>
        <w:t xml:space="preserve">End-users that responded: </w:t>
      </w:r>
    </w:p>
    <w:p w14:paraId="5A7B1653" w14:textId="40EE486A" w:rsidR="001B395C" w:rsidRDefault="001B395C" w:rsidP="007A4AB7">
      <w:pPr>
        <w:rPr>
          <w:lang w:val="en-GB"/>
        </w:rPr>
      </w:pPr>
      <w:r>
        <w:rPr>
          <w:lang w:val="en-GB"/>
        </w:rPr>
        <w:t xml:space="preserve">IFIEC </w:t>
      </w:r>
    </w:p>
    <w:p w14:paraId="53BCFE04" w14:textId="1F8A9864" w:rsidR="001B395C" w:rsidRDefault="00160689" w:rsidP="007A4AB7">
      <w:pPr>
        <w:rPr>
          <w:lang w:val="en-GB"/>
        </w:rPr>
      </w:pPr>
      <w:r>
        <w:rPr>
          <w:lang w:val="en-GB"/>
        </w:rPr>
        <w:t>B</w:t>
      </w:r>
      <w:r w:rsidR="001B395C">
        <w:rPr>
          <w:lang w:val="en-GB"/>
        </w:rPr>
        <w:t>p</w:t>
      </w:r>
    </w:p>
    <w:p w14:paraId="4ECAF8C5" w14:textId="77777777" w:rsidR="00160689" w:rsidRDefault="00160689" w:rsidP="007A4AB7">
      <w:pPr>
        <w:rPr>
          <w:lang w:val="en-GB"/>
        </w:rPr>
      </w:pPr>
    </w:p>
    <w:p w14:paraId="02D8D968" w14:textId="77777777" w:rsidR="00160689" w:rsidRDefault="00160689" w:rsidP="007A4AB7">
      <w:pPr>
        <w:rPr>
          <w:lang w:val="en-GB"/>
        </w:rPr>
      </w:pPr>
    </w:p>
    <w:p w14:paraId="5F9CBED3" w14:textId="77777777" w:rsidR="00160689" w:rsidRPr="00160689" w:rsidRDefault="00160689" w:rsidP="007A4AB7">
      <w:pPr>
        <w:rPr>
          <w:lang w:val="en-GB"/>
        </w:rPr>
      </w:pPr>
    </w:p>
    <w:p w14:paraId="452E0843" w14:textId="1B519D70" w:rsidR="00160689" w:rsidRDefault="00160689" w:rsidP="00160689">
      <w:pPr>
        <w:tabs>
          <w:tab w:val="left" w:pos="3300"/>
        </w:tabs>
        <w:rPr>
          <w:lang w:val="en-GB"/>
        </w:rPr>
      </w:pPr>
      <w:r>
        <w:rPr>
          <w:lang w:val="en-GB"/>
        </w:rPr>
        <w:t>Gasunie:</w:t>
      </w:r>
      <w:r>
        <w:rPr>
          <w:lang w:val="en-GB"/>
        </w:rPr>
        <w:tab/>
      </w:r>
    </w:p>
    <w:p w14:paraId="2C44A100" w14:textId="24BF31B8" w:rsidR="00160689" w:rsidRPr="00160689" w:rsidRDefault="00160689" w:rsidP="00160689">
      <w:pPr>
        <w:tabs>
          <w:tab w:val="left" w:pos="3300"/>
        </w:tabs>
        <w:rPr>
          <w:lang w:val="en-GB"/>
        </w:rPr>
      </w:pPr>
      <w:r w:rsidRPr="00160689">
        <w:rPr>
          <w:lang w:val="en-GB"/>
        </w:rPr>
        <w:t>15. Different levels of purity are required depending on</w:t>
      </w:r>
      <w:r>
        <w:rPr>
          <w:lang w:val="en-GB"/>
        </w:rPr>
        <w:t xml:space="preserve"> </w:t>
      </w:r>
      <w:r w:rsidRPr="00160689">
        <w:rPr>
          <w:lang w:val="en-GB"/>
        </w:rPr>
        <w:t>end uses. Do you believe that, if a globally high level of</w:t>
      </w:r>
      <w:r>
        <w:rPr>
          <w:lang w:val="en-GB"/>
        </w:rPr>
        <w:t xml:space="preserve"> p</w:t>
      </w:r>
      <w:r w:rsidRPr="00160689">
        <w:rPr>
          <w:lang w:val="en-GB"/>
        </w:rPr>
        <w:t>urity were specified across all interconnected European</w:t>
      </w:r>
      <w:r>
        <w:rPr>
          <w:lang w:val="en-GB"/>
        </w:rPr>
        <w:t xml:space="preserve"> </w:t>
      </w:r>
      <w:r w:rsidRPr="00160689">
        <w:rPr>
          <w:lang w:val="en-GB"/>
        </w:rPr>
        <w:t>networks (e.g. &gt;99.97 %), local purification units</w:t>
      </w:r>
      <w:r>
        <w:rPr>
          <w:lang w:val="en-GB"/>
        </w:rPr>
        <w:t xml:space="preserve"> </w:t>
      </w:r>
      <w:r w:rsidRPr="00160689">
        <w:rPr>
          <w:lang w:val="en-GB"/>
        </w:rPr>
        <w:t>(e.g. for fuel cells) could be avoided?</w:t>
      </w:r>
    </w:p>
    <w:p w14:paraId="30CEB8A6" w14:textId="15F6D0D7" w:rsidR="00160689" w:rsidRDefault="00160689" w:rsidP="00160689">
      <w:pPr>
        <w:tabs>
          <w:tab w:val="left" w:pos="3300"/>
        </w:tabs>
        <w:rPr>
          <w:lang w:val="en-GB"/>
        </w:rPr>
      </w:pPr>
      <w:r w:rsidRPr="00160689">
        <w:rPr>
          <w:lang w:val="en-GB"/>
        </w:rPr>
        <w:t>A hydrogen purity level of above 99,5 % is currently not</w:t>
      </w:r>
      <w:r>
        <w:rPr>
          <w:lang w:val="en-GB"/>
        </w:rPr>
        <w:t xml:space="preserve"> </w:t>
      </w:r>
      <w:r w:rsidRPr="00160689">
        <w:rPr>
          <w:lang w:val="en-GB"/>
        </w:rPr>
        <w:t>possible to guarantee in repurposed natural gas pipelines,</w:t>
      </w:r>
      <w:r>
        <w:rPr>
          <w:lang w:val="en-GB"/>
        </w:rPr>
        <w:t xml:space="preserve"> </w:t>
      </w:r>
      <w:r w:rsidRPr="00160689">
        <w:rPr>
          <w:lang w:val="en-GB"/>
        </w:rPr>
        <w:t>therefore a hydrogen purity level of &gt;99,97 % could not</w:t>
      </w:r>
      <w:r>
        <w:rPr>
          <w:lang w:val="en-GB"/>
        </w:rPr>
        <w:t xml:space="preserve"> </w:t>
      </w:r>
      <w:r w:rsidRPr="00160689">
        <w:rPr>
          <w:lang w:val="en-GB"/>
        </w:rPr>
        <w:t>be guaranteed across the interconnected hydrogen network.</w:t>
      </w:r>
      <w:r>
        <w:rPr>
          <w:lang w:val="en-GB"/>
        </w:rPr>
        <w:t xml:space="preserve"> </w:t>
      </w:r>
      <w:r w:rsidRPr="00160689">
        <w:rPr>
          <w:lang w:val="en-GB"/>
        </w:rPr>
        <w:t>99,97 % could also not be guaranteed by storage</w:t>
      </w:r>
      <w:r>
        <w:rPr>
          <w:lang w:val="en-GB"/>
        </w:rPr>
        <w:t xml:space="preserve"> </w:t>
      </w:r>
      <w:r w:rsidRPr="00160689">
        <w:rPr>
          <w:lang w:val="en-GB"/>
        </w:rPr>
        <w:t>operators.</w:t>
      </w:r>
      <w:r>
        <w:rPr>
          <w:lang w:val="en-GB"/>
        </w:rPr>
        <w:t xml:space="preserve"> </w:t>
      </w:r>
      <w:r w:rsidRPr="00160689">
        <w:rPr>
          <w:lang w:val="en-GB"/>
        </w:rPr>
        <w:t>Defining a hydrogen purity across the European hydrogen</w:t>
      </w:r>
      <w:r>
        <w:rPr>
          <w:lang w:val="en-GB"/>
        </w:rPr>
        <w:t xml:space="preserve"> </w:t>
      </w:r>
      <w:r w:rsidRPr="00160689">
        <w:rPr>
          <w:lang w:val="en-GB"/>
        </w:rPr>
        <w:t>network at &gt;99,97 % purity would incur unnecessary purification</w:t>
      </w:r>
      <w:r>
        <w:rPr>
          <w:lang w:val="en-GB"/>
        </w:rPr>
        <w:t xml:space="preserve"> </w:t>
      </w:r>
      <w:r w:rsidRPr="00160689">
        <w:rPr>
          <w:lang w:val="en-GB"/>
        </w:rPr>
        <w:t>costs for users which do not require hydrogen</w:t>
      </w:r>
      <w:r>
        <w:rPr>
          <w:lang w:val="en-GB"/>
        </w:rPr>
        <w:t xml:space="preserve"> </w:t>
      </w:r>
      <w:r w:rsidRPr="00160689">
        <w:rPr>
          <w:lang w:val="en-GB"/>
        </w:rPr>
        <w:t>of such high purity. Moreover the location of hydrogen</w:t>
      </w:r>
      <w:r>
        <w:rPr>
          <w:lang w:val="en-GB"/>
        </w:rPr>
        <w:t xml:space="preserve"> </w:t>
      </w:r>
      <w:r w:rsidRPr="00160689">
        <w:rPr>
          <w:lang w:val="en-GB"/>
        </w:rPr>
        <w:t>refuelling stations along highways means that they will</w:t>
      </w:r>
      <w:r>
        <w:rPr>
          <w:lang w:val="en-GB"/>
        </w:rPr>
        <w:t xml:space="preserve"> </w:t>
      </w:r>
      <w:r w:rsidRPr="00160689">
        <w:rPr>
          <w:lang w:val="en-GB"/>
        </w:rPr>
        <w:t>not necessarily be served by hydrogen pipelines – on-site</w:t>
      </w:r>
      <w:r>
        <w:rPr>
          <w:lang w:val="en-GB"/>
        </w:rPr>
        <w:t xml:space="preserve"> </w:t>
      </w:r>
      <w:r w:rsidRPr="00160689">
        <w:rPr>
          <w:lang w:val="en-GB"/>
        </w:rPr>
        <w:t>hydrogen production or road delivery will be needed when</w:t>
      </w:r>
      <w:r>
        <w:rPr>
          <w:lang w:val="en-GB"/>
        </w:rPr>
        <w:t xml:space="preserve"> </w:t>
      </w:r>
      <w:r w:rsidRPr="00160689">
        <w:rPr>
          <w:lang w:val="en-GB"/>
        </w:rPr>
        <w:t>hydrogen refuelling stations are located remote from hydrogen</w:t>
      </w:r>
      <w:r>
        <w:rPr>
          <w:lang w:val="en-GB"/>
        </w:rPr>
        <w:t xml:space="preserve"> </w:t>
      </w:r>
      <w:r w:rsidRPr="00160689">
        <w:rPr>
          <w:lang w:val="en-GB"/>
        </w:rPr>
        <w:t>pipelines.</w:t>
      </w:r>
    </w:p>
    <w:p w14:paraId="0CDA6D93" w14:textId="77777777" w:rsidR="00764961" w:rsidRDefault="00764961" w:rsidP="00160689">
      <w:pPr>
        <w:tabs>
          <w:tab w:val="left" w:pos="3300"/>
        </w:tabs>
        <w:rPr>
          <w:lang w:val="en-GB"/>
        </w:rPr>
      </w:pPr>
    </w:p>
    <w:p w14:paraId="4C12E864" w14:textId="75193717" w:rsidR="00764961" w:rsidRDefault="00764961" w:rsidP="00160689">
      <w:pPr>
        <w:tabs>
          <w:tab w:val="left" w:pos="3300"/>
        </w:tabs>
        <w:rPr>
          <w:lang w:val="en-GB"/>
        </w:rPr>
      </w:pPr>
      <w:hyperlink r:id="rId5" w:history="1">
        <w:r w:rsidRPr="002F7BEF">
          <w:rPr>
            <w:rStyle w:val="Hyperlink"/>
            <w:lang w:val="en-GB"/>
          </w:rPr>
          <w:t>https://www.ennoh.eu/ennohs-2026-hydrogen-quality-monitoring-report</w:t>
        </w:r>
      </w:hyperlink>
      <w:r>
        <w:rPr>
          <w:lang w:val="en-GB"/>
        </w:rPr>
        <w:br/>
      </w:r>
    </w:p>
    <w:p w14:paraId="6B317C79" w14:textId="1FC2F2C7" w:rsidR="00AB0E2C" w:rsidRPr="00BA5659" w:rsidRDefault="00AB0E2C" w:rsidP="00160689">
      <w:pPr>
        <w:tabs>
          <w:tab w:val="left" w:pos="3300"/>
        </w:tabs>
      </w:pPr>
      <w:r w:rsidRPr="00BA5659">
        <w:t>25 respondenten</w:t>
      </w:r>
    </w:p>
    <w:p w14:paraId="38E8B2A1" w14:textId="3E9436B8" w:rsidR="00AB0E2C" w:rsidRPr="00BA5659" w:rsidRDefault="00AB0E2C" w:rsidP="00160689">
      <w:pPr>
        <w:tabs>
          <w:tab w:val="left" w:pos="3300"/>
        </w:tabs>
      </w:pPr>
      <w:r w:rsidRPr="00BA5659">
        <w:t>BVEG: olie en gasexploratie</w:t>
      </w:r>
    </w:p>
    <w:p w14:paraId="088F4D15" w14:textId="0D78FFA2" w:rsidR="00C07FC1" w:rsidRPr="00BA5659" w:rsidRDefault="00C07FC1" w:rsidP="00160689">
      <w:pPr>
        <w:tabs>
          <w:tab w:val="left" w:pos="3300"/>
        </w:tabs>
        <w:rPr>
          <w:b/>
          <w:bCs/>
        </w:rPr>
      </w:pPr>
      <w:r w:rsidRPr="00BA5659">
        <w:rPr>
          <w:b/>
          <w:bCs/>
        </w:rPr>
        <w:t>Gebruikers</w:t>
      </w:r>
    </w:p>
    <w:p w14:paraId="3E5AD770" w14:textId="77777777" w:rsidR="00CB1CAF" w:rsidRDefault="00C07FC1" w:rsidP="00CB1CAF">
      <w:pPr>
        <w:pStyle w:val="Lijstalinea"/>
        <w:numPr>
          <w:ilvl w:val="0"/>
          <w:numId w:val="3"/>
        </w:numPr>
        <w:tabs>
          <w:tab w:val="left" w:pos="3300"/>
        </w:tabs>
        <w:rPr>
          <w:lang w:val="en-GB"/>
        </w:rPr>
      </w:pPr>
      <w:r>
        <w:rPr>
          <w:lang w:val="en-GB"/>
        </w:rPr>
        <w:t>IFIEC</w:t>
      </w:r>
    </w:p>
    <w:p w14:paraId="4B70C4F1" w14:textId="67B24DAD" w:rsidR="00C07FC1" w:rsidRDefault="00CB1CAF" w:rsidP="00CB1CAF">
      <w:pPr>
        <w:pStyle w:val="Lijstalinea"/>
        <w:numPr>
          <w:ilvl w:val="0"/>
          <w:numId w:val="3"/>
        </w:numPr>
        <w:tabs>
          <w:tab w:val="left" w:pos="3300"/>
        </w:tabs>
        <w:rPr>
          <w:lang w:val="en-GB"/>
        </w:rPr>
      </w:pPr>
      <w:r w:rsidRPr="00CB1CAF">
        <w:rPr>
          <w:lang w:val="en-GB"/>
        </w:rPr>
        <w:t>BDH association of german heating industry</w:t>
      </w:r>
    </w:p>
    <w:p w14:paraId="4C1B1D67" w14:textId="0EB54D5C" w:rsidR="00CB1CAF" w:rsidRPr="00CB1CAF" w:rsidRDefault="00CB1CAF" w:rsidP="00CB1CAF">
      <w:pPr>
        <w:pStyle w:val="Lijstalinea"/>
        <w:numPr>
          <w:ilvl w:val="0"/>
          <w:numId w:val="3"/>
        </w:numPr>
        <w:tabs>
          <w:tab w:val="left" w:pos="3300"/>
        </w:tabs>
        <w:rPr>
          <w:lang w:val="en-GB"/>
        </w:rPr>
      </w:pPr>
      <w:r>
        <w:rPr>
          <w:lang w:val="en-GB"/>
        </w:rPr>
        <w:t>bp</w:t>
      </w:r>
    </w:p>
    <w:p w14:paraId="4FA3D870" w14:textId="7FF619F1" w:rsidR="00AB0E2C" w:rsidRPr="00AB0E2C" w:rsidRDefault="00AB0E2C" w:rsidP="00160689">
      <w:pPr>
        <w:tabs>
          <w:tab w:val="left" w:pos="3300"/>
        </w:tabs>
        <w:rPr>
          <w:b/>
          <w:bCs/>
          <w:lang w:val="en-GB"/>
        </w:rPr>
      </w:pPr>
      <w:r w:rsidRPr="00AB0E2C">
        <w:rPr>
          <w:b/>
          <w:bCs/>
          <w:lang w:val="en-GB"/>
        </w:rPr>
        <w:t>Netbeheerders:</w:t>
      </w:r>
    </w:p>
    <w:p w14:paraId="521FE577" w14:textId="0C354810" w:rsidR="00AB0E2C" w:rsidRPr="00FB606C" w:rsidRDefault="00AB0E2C" w:rsidP="00FB606C">
      <w:pPr>
        <w:pStyle w:val="Lijstalinea"/>
        <w:numPr>
          <w:ilvl w:val="0"/>
          <w:numId w:val="1"/>
        </w:numPr>
        <w:tabs>
          <w:tab w:val="left" w:pos="3300"/>
        </w:tabs>
        <w:rPr>
          <w:lang w:val="en-GB"/>
        </w:rPr>
      </w:pPr>
      <w:r w:rsidRPr="00FB606C">
        <w:rPr>
          <w:lang w:val="en-GB"/>
        </w:rPr>
        <w:t>Gas connect Austria</w:t>
      </w:r>
    </w:p>
    <w:p w14:paraId="5C65679D" w14:textId="48C8DF2F" w:rsidR="00FB606C" w:rsidRDefault="00FB606C" w:rsidP="00FB606C">
      <w:pPr>
        <w:pStyle w:val="Lijstalinea"/>
        <w:numPr>
          <w:ilvl w:val="0"/>
          <w:numId w:val="1"/>
        </w:numPr>
        <w:tabs>
          <w:tab w:val="left" w:pos="3300"/>
        </w:tabs>
        <w:rPr>
          <w:lang w:val="en-GB"/>
        </w:rPr>
      </w:pPr>
      <w:r w:rsidRPr="00FB606C">
        <w:rPr>
          <w:lang w:val="en-GB"/>
        </w:rPr>
        <w:t>GNI</w:t>
      </w:r>
    </w:p>
    <w:p w14:paraId="618537DF" w14:textId="0C546C45" w:rsidR="00C07FC1" w:rsidRDefault="00C07FC1" w:rsidP="00FB606C">
      <w:pPr>
        <w:pStyle w:val="Lijstalinea"/>
        <w:numPr>
          <w:ilvl w:val="0"/>
          <w:numId w:val="1"/>
        </w:numPr>
        <w:tabs>
          <w:tab w:val="left" w:pos="3300"/>
        </w:tabs>
        <w:rPr>
          <w:lang w:val="en-GB"/>
        </w:rPr>
      </w:pPr>
      <w:r>
        <w:rPr>
          <w:lang w:val="en-GB"/>
        </w:rPr>
        <w:t>ENTSOG</w:t>
      </w:r>
    </w:p>
    <w:p w14:paraId="4649602D" w14:textId="369502CE" w:rsidR="00C07FC1" w:rsidRPr="00FB606C" w:rsidRDefault="00C07FC1" w:rsidP="00FB606C">
      <w:pPr>
        <w:pStyle w:val="Lijstalinea"/>
        <w:numPr>
          <w:ilvl w:val="0"/>
          <w:numId w:val="1"/>
        </w:numPr>
        <w:tabs>
          <w:tab w:val="left" w:pos="3300"/>
        </w:tabs>
        <w:rPr>
          <w:lang w:val="en-GB"/>
        </w:rPr>
      </w:pPr>
      <w:r>
        <w:rPr>
          <w:lang w:val="en-GB"/>
        </w:rPr>
        <w:t>NATRAN</w:t>
      </w:r>
    </w:p>
    <w:p w14:paraId="478DC65F" w14:textId="3451E553" w:rsidR="00AB0E2C" w:rsidRDefault="00FB606C" w:rsidP="00160689">
      <w:pPr>
        <w:tabs>
          <w:tab w:val="left" w:pos="3300"/>
        </w:tabs>
        <w:rPr>
          <w:b/>
          <w:bCs/>
          <w:lang w:val="en-GB"/>
        </w:rPr>
      </w:pPr>
      <w:r w:rsidRPr="00FB606C">
        <w:rPr>
          <w:b/>
          <w:bCs/>
          <w:lang w:val="en-GB"/>
        </w:rPr>
        <w:t>Waterstofopslagen</w:t>
      </w:r>
    </w:p>
    <w:p w14:paraId="73041F8C" w14:textId="2A2A7099" w:rsidR="00C07FC1" w:rsidRDefault="00C07FC1" w:rsidP="00C07FC1">
      <w:pPr>
        <w:pStyle w:val="Lijstalinea"/>
        <w:numPr>
          <w:ilvl w:val="0"/>
          <w:numId w:val="4"/>
        </w:numPr>
        <w:tabs>
          <w:tab w:val="left" w:pos="3300"/>
        </w:tabs>
        <w:rPr>
          <w:lang w:val="en-GB"/>
        </w:rPr>
      </w:pPr>
      <w:r>
        <w:rPr>
          <w:lang w:val="en-GB"/>
        </w:rPr>
        <w:t>SEFE</w:t>
      </w:r>
    </w:p>
    <w:p w14:paraId="537A161B" w14:textId="0A49FB15" w:rsidR="00615475" w:rsidRPr="00C07FC1" w:rsidRDefault="00615475" w:rsidP="00C07FC1">
      <w:pPr>
        <w:pStyle w:val="Lijstalinea"/>
        <w:numPr>
          <w:ilvl w:val="0"/>
          <w:numId w:val="4"/>
        </w:numPr>
        <w:tabs>
          <w:tab w:val="left" w:pos="3300"/>
        </w:tabs>
        <w:rPr>
          <w:lang w:val="en-GB"/>
        </w:rPr>
      </w:pPr>
      <w:r>
        <w:rPr>
          <w:lang w:val="en-GB"/>
        </w:rPr>
        <w:t>OVGW</w:t>
      </w:r>
    </w:p>
    <w:p w14:paraId="1AD82577" w14:textId="62976FDF" w:rsidR="00FB606C" w:rsidRDefault="00C07FC1" w:rsidP="00160689">
      <w:pPr>
        <w:tabs>
          <w:tab w:val="left" w:pos="3300"/>
        </w:tabs>
        <w:rPr>
          <w:b/>
          <w:bCs/>
          <w:lang w:val="en-GB"/>
        </w:rPr>
      </w:pPr>
      <w:r w:rsidRPr="00FB606C">
        <w:rPr>
          <w:b/>
          <w:bCs/>
          <w:lang w:val="en-GB"/>
        </w:rPr>
        <w:t>W</w:t>
      </w:r>
      <w:r w:rsidR="00FB606C" w:rsidRPr="00FB606C">
        <w:rPr>
          <w:b/>
          <w:bCs/>
          <w:lang w:val="en-GB"/>
        </w:rPr>
        <w:t>aterstofproducenten</w:t>
      </w:r>
    </w:p>
    <w:p w14:paraId="1FC545F5" w14:textId="32464CFA" w:rsidR="00C07FC1" w:rsidRDefault="00C07FC1" w:rsidP="00C07FC1">
      <w:pPr>
        <w:pStyle w:val="Lijstalinea"/>
        <w:numPr>
          <w:ilvl w:val="0"/>
          <w:numId w:val="2"/>
        </w:numPr>
        <w:tabs>
          <w:tab w:val="left" w:pos="3300"/>
        </w:tabs>
        <w:rPr>
          <w:lang w:val="en-GB"/>
        </w:rPr>
      </w:pPr>
      <w:r>
        <w:rPr>
          <w:lang w:val="en-GB"/>
        </w:rPr>
        <w:t>EIGA</w:t>
      </w:r>
    </w:p>
    <w:p w14:paraId="6F2D6A77" w14:textId="2898B807" w:rsidR="003D6455" w:rsidRDefault="003D6455" w:rsidP="003D6455">
      <w:pPr>
        <w:tabs>
          <w:tab w:val="left" w:pos="3300"/>
        </w:tabs>
        <w:rPr>
          <w:b/>
          <w:bCs/>
          <w:lang w:val="en-GB"/>
        </w:rPr>
      </w:pPr>
      <w:r>
        <w:rPr>
          <w:b/>
          <w:bCs/>
          <w:lang w:val="en-GB"/>
        </w:rPr>
        <w:t>Normerende partijen</w:t>
      </w:r>
    </w:p>
    <w:p w14:paraId="0BAB6E0A" w14:textId="77777777" w:rsidR="00CB1CAF" w:rsidRPr="003D6455" w:rsidRDefault="00CB1CAF">
      <w:pPr>
        <w:pStyle w:val="Lijstalinea"/>
        <w:numPr>
          <w:ilvl w:val="0"/>
          <w:numId w:val="5"/>
        </w:numPr>
        <w:tabs>
          <w:tab w:val="left" w:pos="3300"/>
        </w:tabs>
        <w:rPr>
          <w:lang w:val="en-GB"/>
        </w:rPr>
      </w:pPr>
    </w:p>
    <w:sectPr w:rsidR="00CB1CAF" w:rsidRPr="003D64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9661E"/>
    <w:multiLevelType w:val="hybridMultilevel"/>
    <w:tmpl w:val="F4BEB8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E986E3E"/>
    <w:multiLevelType w:val="hybridMultilevel"/>
    <w:tmpl w:val="26AAB5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EDB630D"/>
    <w:multiLevelType w:val="hybridMultilevel"/>
    <w:tmpl w:val="4EA80D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C423238"/>
    <w:multiLevelType w:val="hybridMultilevel"/>
    <w:tmpl w:val="0706B9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5761A38"/>
    <w:multiLevelType w:val="hybridMultilevel"/>
    <w:tmpl w:val="363058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7083CC1"/>
    <w:multiLevelType w:val="hybridMultilevel"/>
    <w:tmpl w:val="2BACDF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62785996">
    <w:abstractNumId w:val="2"/>
  </w:num>
  <w:num w:numId="2" w16cid:durableId="2049717858">
    <w:abstractNumId w:val="0"/>
  </w:num>
  <w:num w:numId="3" w16cid:durableId="469707217">
    <w:abstractNumId w:val="3"/>
  </w:num>
  <w:num w:numId="4" w16cid:durableId="359011923">
    <w:abstractNumId w:val="1"/>
  </w:num>
  <w:num w:numId="5" w16cid:durableId="298923575">
    <w:abstractNumId w:val="5"/>
  </w:num>
  <w:num w:numId="6" w16cid:durableId="3328013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10F"/>
    <w:rsid w:val="0003371C"/>
    <w:rsid w:val="00040CF1"/>
    <w:rsid w:val="000E6C67"/>
    <w:rsid w:val="0012224F"/>
    <w:rsid w:val="001239F6"/>
    <w:rsid w:val="00130CD2"/>
    <w:rsid w:val="00160689"/>
    <w:rsid w:val="001A7024"/>
    <w:rsid w:val="001B395C"/>
    <w:rsid w:val="001B7FD6"/>
    <w:rsid w:val="0020569D"/>
    <w:rsid w:val="002C5100"/>
    <w:rsid w:val="00310E09"/>
    <w:rsid w:val="0034400B"/>
    <w:rsid w:val="003862FA"/>
    <w:rsid w:val="003D50BD"/>
    <w:rsid w:val="003D6455"/>
    <w:rsid w:val="003E2C3F"/>
    <w:rsid w:val="00403603"/>
    <w:rsid w:val="00476BFA"/>
    <w:rsid w:val="004B65FC"/>
    <w:rsid w:val="004B696C"/>
    <w:rsid w:val="004E5923"/>
    <w:rsid w:val="004E7A81"/>
    <w:rsid w:val="00537446"/>
    <w:rsid w:val="00554EB5"/>
    <w:rsid w:val="005628A7"/>
    <w:rsid w:val="00584DD2"/>
    <w:rsid w:val="005A336D"/>
    <w:rsid w:val="005C6AD8"/>
    <w:rsid w:val="00615475"/>
    <w:rsid w:val="006366E3"/>
    <w:rsid w:val="00643AD1"/>
    <w:rsid w:val="00653274"/>
    <w:rsid w:val="0065710F"/>
    <w:rsid w:val="00676B74"/>
    <w:rsid w:val="007031BE"/>
    <w:rsid w:val="0072235F"/>
    <w:rsid w:val="00740376"/>
    <w:rsid w:val="00764961"/>
    <w:rsid w:val="00765C9F"/>
    <w:rsid w:val="007969DE"/>
    <w:rsid w:val="007A1AF5"/>
    <w:rsid w:val="007A4AB7"/>
    <w:rsid w:val="007C5F20"/>
    <w:rsid w:val="0080326A"/>
    <w:rsid w:val="008235AF"/>
    <w:rsid w:val="008C347C"/>
    <w:rsid w:val="008E3AA4"/>
    <w:rsid w:val="008E576F"/>
    <w:rsid w:val="009724A8"/>
    <w:rsid w:val="009A4E01"/>
    <w:rsid w:val="00A16536"/>
    <w:rsid w:val="00A36CF1"/>
    <w:rsid w:val="00A71E04"/>
    <w:rsid w:val="00A81CAE"/>
    <w:rsid w:val="00A86243"/>
    <w:rsid w:val="00A8786C"/>
    <w:rsid w:val="00A96972"/>
    <w:rsid w:val="00AB0CA4"/>
    <w:rsid w:val="00AB0E2C"/>
    <w:rsid w:val="00B22C33"/>
    <w:rsid w:val="00B33FB4"/>
    <w:rsid w:val="00B44FE4"/>
    <w:rsid w:val="00B52C8F"/>
    <w:rsid w:val="00B544F2"/>
    <w:rsid w:val="00B90677"/>
    <w:rsid w:val="00BA5659"/>
    <w:rsid w:val="00BB4A50"/>
    <w:rsid w:val="00BC26A5"/>
    <w:rsid w:val="00C07FC1"/>
    <w:rsid w:val="00C73724"/>
    <w:rsid w:val="00CB1CAF"/>
    <w:rsid w:val="00D00C97"/>
    <w:rsid w:val="00D61751"/>
    <w:rsid w:val="00D75CDE"/>
    <w:rsid w:val="00D77389"/>
    <w:rsid w:val="00D9012C"/>
    <w:rsid w:val="00D91D40"/>
    <w:rsid w:val="00D97939"/>
    <w:rsid w:val="00E92C9D"/>
    <w:rsid w:val="00F24D15"/>
    <w:rsid w:val="00F578B7"/>
    <w:rsid w:val="00F600E3"/>
    <w:rsid w:val="00F61945"/>
    <w:rsid w:val="00F700C1"/>
    <w:rsid w:val="00FB60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5B665"/>
  <w15:chartTrackingRefBased/>
  <w15:docId w15:val="{0A721CEF-5D02-4AA4-9662-BFA34207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71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571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71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71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71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71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71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71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71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71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71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71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71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71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71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71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71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710F"/>
    <w:rPr>
      <w:rFonts w:eastAsiaTheme="majorEastAsia" w:cstheme="majorBidi"/>
      <w:color w:val="272727" w:themeColor="text1" w:themeTint="D8"/>
    </w:rPr>
  </w:style>
  <w:style w:type="paragraph" w:styleId="Titel">
    <w:name w:val="Title"/>
    <w:basedOn w:val="Standaard"/>
    <w:next w:val="Standaard"/>
    <w:link w:val="TitelChar"/>
    <w:uiPriority w:val="10"/>
    <w:qFormat/>
    <w:rsid w:val="006571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71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71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71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71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710F"/>
    <w:rPr>
      <w:i/>
      <w:iCs/>
      <w:color w:val="404040" w:themeColor="text1" w:themeTint="BF"/>
    </w:rPr>
  </w:style>
  <w:style w:type="paragraph" w:styleId="Lijstalinea">
    <w:name w:val="List Paragraph"/>
    <w:basedOn w:val="Standaard"/>
    <w:uiPriority w:val="34"/>
    <w:qFormat/>
    <w:rsid w:val="0065710F"/>
    <w:pPr>
      <w:ind w:left="720"/>
      <w:contextualSpacing/>
    </w:pPr>
  </w:style>
  <w:style w:type="character" w:styleId="Intensievebenadrukking">
    <w:name w:val="Intense Emphasis"/>
    <w:basedOn w:val="Standaardalinea-lettertype"/>
    <w:uiPriority w:val="21"/>
    <w:qFormat/>
    <w:rsid w:val="0065710F"/>
    <w:rPr>
      <w:i/>
      <w:iCs/>
      <w:color w:val="0F4761" w:themeColor="accent1" w:themeShade="BF"/>
    </w:rPr>
  </w:style>
  <w:style w:type="paragraph" w:styleId="Duidelijkcitaat">
    <w:name w:val="Intense Quote"/>
    <w:basedOn w:val="Standaard"/>
    <w:next w:val="Standaard"/>
    <w:link w:val="DuidelijkcitaatChar"/>
    <w:uiPriority w:val="30"/>
    <w:qFormat/>
    <w:rsid w:val="006571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710F"/>
    <w:rPr>
      <w:i/>
      <w:iCs/>
      <w:color w:val="0F4761" w:themeColor="accent1" w:themeShade="BF"/>
    </w:rPr>
  </w:style>
  <w:style w:type="character" w:styleId="Intensieveverwijzing">
    <w:name w:val="Intense Reference"/>
    <w:basedOn w:val="Standaardalinea-lettertype"/>
    <w:uiPriority w:val="32"/>
    <w:qFormat/>
    <w:rsid w:val="0065710F"/>
    <w:rPr>
      <w:b/>
      <w:bCs/>
      <w:smallCaps/>
      <w:color w:val="0F4761" w:themeColor="accent1" w:themeShade="BF"/>
      <w:spacing w:val="5"/>
    </w:rPr>
  </w:style>
  <w:style w:type="character" w:styleId="Hyperlink">
    <w:name w:val="Hyperlink"/>
    <w:basedOn w:val="Standaardalinea-lettertype"/>
    <w:uiPriority w:val="99"/>
    <w:unhideWhenUsed/>
    <w:rsid w:val="00764961"/>
    <w:rPr>
      <w:color w:val="467886" w:themeColor="hyperlink"/>
      <w:u w:val="single"/>
    </w:rPr>
  </w:style>
  <w:style w:type="character" w:styleId="Onopgelostemelding">
    <w:name w:val="Unresolved Mention"/>
    <w:basedOn w:val="Standaardalinea-lettertype"/>
    <w:uiPriority w:val="99"/>
    <w:semiHidden/>
    <w:unhideWhenUsed/>
    <w:rsid w:val="00764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nnoh.eu/ennohs-2026-hydrogen-quality-monitoring-report"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3</Pages>
  <Words>1100</Words>
  <Characters>6051</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Villalobos Valdivia</dc:creator>
  <cp:keywords/>
  <dc:description/>
  <cp:lastModifiedBy>Paul Villalobos Valdivia</cp:lastModifiedBy>
  <cp:revision>82</cp:revision>
  <dcterms:created xsi:type="dcterms:W3CDTF">2026-06-02T10:30:00Z</dcterms:created>
  <dcterms:modified xsi:type="dcterms:W3CDTF">2026-06-02T14:04:00Z</dcterms:modified>
</cp:coreProperties>
</file>